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DCE" w:rsidRPr="008E2DCE" w:rsidRDefault="008E2DCE" w:rsidP="008E2DCE">
      <w:pPr>
        <w:spacing w:before="80" w:after="80" w:line="240" w:lineRule="atLeast"/>
        <w:rPr>
          <w:rFonts w:ascii="Arial" w:eastAsia="Times New Roman" w:hAnsi="Arial" w:cs="Arial"/>
          <w:color w:val="000000"/>
          <w:sz w:val="17"/>
          <w:szCs w:val="17"/>
        </w:rPr>
      </w:pPr>
      <w:r w:rsidRPr="008E2DCE">
        <w:rPr>
          <w:rFonts w:ascii="Arial" w:eastAsia="Times New Roman" w:hAnsi="Arial" w:cs="Arial"/>
          <w:color w:val="000000"/>
          <w:sz w:val="17"/>
          <w:szCs w:val="17"/>
        </w:rPr>
        <w:t xml:space="preserve">November 2009 | Volume </w:t>
      </w:r>
      <w:r w:rsidRPr="008E2DCE">
        <w:rPr>
          <w:rFonts w:ascii="Arial" w:eastAsia="Times New Roman" w:hAnsi="Arial" w:cs="Arial"/>
          <w:b/>
          <w:bCs/>
          <w:color w:val="000000"/>
          <w:sz w:val="17"/>
          <w:szCs w:val="17"/>
        </w:rPr>
        <w:t>67</w:t>
      </w:r>
      <w:r w:rsidRPr="008E2DCE">
        <w:rPr>
          <w:rFonts w:ascii="Arial" w:eastAsia="Times New Roman" w:hAnsi="Arial" w:cs="Arial"/>
          <w:color w:val="000000"/>
          <w:sz w:val="17"/>
          <w:szCs w:val="17"/>
        </w:rPr>
        <w:t xml:space="preserve"> | Number </w:t>
      </w:r>
      <w:r w:rsidRPr="008E2DCE">
        <w:rPr>
          <w:rFonts w:ascii="Arial" w:eastAsia="Times New Roman" w:hAnsi="Arial" w:cs="Arial"/>
          <w:b/>
          <w:bCs/>
          <w:color w:val="000000"/>
          <w:sz w:val="17"/>
          <w:szCs w:val="17"/>
        </w:rPr>
        <w:t>3</w:t>
      </w:r>
      <w:r w:rsidRPr="008E2DCE">
        <w:rPr>
          <w:rFonts w:ascii="Arial" w:eastAsia="Times New Roman" w:hAnsi="Arial" w:cs="Arial"/>
          <w:color w:val="000000"/>
          <w:sz w:val="17"/>
          <w:szCs w:val="17"/>
        </w:rPr>
        <w:t xml:space="preserve"> </w:t>
      </w:r>
      <w:r w:rsidRPr="008E2DCE">
        <w:rPr>
          <w:rFonts w:ascii="Arial" w:eastAsia="Times New Roman" w:hAnsi="Arial" w:cs="Arial"/>
          <w:color w:val="000000"/>
          <w:sz w:val="17"/>
          <w:szCs w:val="17"/>
        </w:rPr>
        <w:br/>
      </w:r>
      <w:r w:rsidRPr="008E2DCE">
        <w:rPr>
          <w:rFonts w:ascii="Arial" w:eastAsia="Times New Roman" w:hAnsi="Arial" w:cs="Arial"/>
          <w:b/>
          <w:bCs/>
          <w:color w:val="000000"/>
          <w:sz w:val="17"/>
          <w:szCs w:val="17"/>
        </w:rPr>
        <w:t>Multiple Measures</w:t>
      </w:r>
      <w:r w:rsidRPr="008E2DCE">
        <w:rPr>
          <w:rFonts w:ascii="Arial" w:eastAsia="Times New Roman" w:hAnsi="Arial" w:cs="Arial"/>
          <w:color w:val="000000"/>
          <w:sz w:val="17"/>
          <w:szCs w:val="17"/>
        </w:rPr>
        <w:t xml:space="preserve">    Pages 85-86 </w:t>
      </w:r>
    </w:p>
    <w:p w:rsidR="008E2DCE" w:rsidRPr="008E2DCE" w:rsidRDefault="008E2DCE" w:rsidP="008E2DCE">
      <w:pPr>
        <w:spacing w:after="0" w:line="450" w:lineRule="atLeast"/>
        <w:rPr>
          <w:rFonts w:ascii="Arial" w:eastAsia="Times New Roman" w:hAnsi="Arial" w:cs="Arial"/>
          <w:b/>
          <w:bCs/>
          <w:color w:val="000000"/>
          <w:sz w:val="24"/>
          <w:szCs w:val="24"/>
        </w:rPr>
      </w:pPr>
      <w:r w:rsidRPr="008E2DCE">
        <w:rPr>
          <w:rFonts w:ascii="Arial" w:eastAsia="Times New Roman" w:hAnsi="Arial" w:cs="Arial"/>
          <w:b/>
          <w:bCs/>
          <w:color w:val="000000"/>
          <w:sz w:val="24"/>
          <w:szCs w:val="24"/>
        </w:rPr>
        <w:t xml:space="preserve">Balanced Assessment </w:t>
      </w:r>
    </w:p>
    <w:p w:rsidR="008E2DCE" w:rsidRPr="008E2DCE" w:rsidRDefault="008E2DCE" w:rsidP="008E2DCE">
      <w:pPr>
        <w:spacing w:after="0" w:line="270" w:lineRule="atLeast"/>
        <w:rPr>
          <w:rFonts w:ascii="Arial" w:eastAsia="Times New Roman" w:hAnsi="Arial" w:cs="Arial"/>
          <w:i/>
          <w:iCs/>
          <w:color w:val="000000"/>
          <w:sz w:val="18"/>
          <w:szCs w:val="18"/>
        </w:rPr>
      </w:pPr>
      <w:r w:rsidRPr="008E2DCE">
        <w:rPr>
          <w:rFonts w:ascii="Arial" w:eastAsia="Times New Roman" w:hAnsi="Arial" w:cs="Arial"/>
          <w:i/>
          <w:iCs/>
          <w:color w:val="000000"/>
          <w:sz w:val="18"/>
          <w:szCs w:val="18"/>
        </w:rPr>
        <w:t>Tracy A. Huebner</w:t>
      </w:r>
    </w:p>
    <w:p w:rsidR="008E2DCE" w:rsidRPr="008E2DCE" w:rsidRDefault="008E2DCE" w:rsidP="008E2DCE">
      <w:pPr>
        <w:spacing w:after="0" w:line="240" w:lineRule="auto"/>
        <w:rPr>
          <w:rFonts w:ascii="Verdana" w:eastAsia="Times New Roman" w:hAnsi="Verdana" w:cs="Times New Roman"/>
          <w:sz w:val="17"/>
          <w:szCs w:val="17"/>
        </w:rPr>
      </w:pPr>
      <w:r w:rsidRPr="008E2DCE">
        <w:rPr>
          <w:rFonts w:ascii="Times New Roman" w:eastAsia="Times New Roman" w:hAnsi="Times New Roman" w:cs="Times New Roman"/>
          <w:sz w:val="24"/>
          <w:szCs w:val="24"/>
        </w:rPr>
        <w:pict/>
      </w:r>
    </w:p>
    <w:p w:rsidR="008E2DCE" w:rsidRPr="008E2DCE" w:rsidRDefault="008E2DCE" w:rsidP="008E2DCE">
      <w:pPr>
        <w:spacing w:after="120" w:line="270" w:lineRule="atLeast"/>
        <w:rPr>
          <w:rFonts w:ascii="Arial" w:eastAsia="Times New Roman" w:hAnsi="Arial" w:cs="Arial"/>
          <w:sz w:val="18"/>
          <w:szCs w:val="18"/>
        </w:rPr>
      </w:pPr>
      <w:r w:rsidRPr="008E2DCE">
        <w:rPr>
          <w:rFonts w:ascii="Arial" w:eastAsia="Times New Roman" w:hAnsi="Arial" w:cs="Arial"/>
          <w:sz w:val="18"/>
          <w:szCs w:val="18"/>
        </w:rPr>
        <w:t>Every summer, when state departments of education release their test scores, education leaders pay close attention to see how their school or district ranks. Classroom teachers, on the other hand, are often frustrated that these data arrive when the tested set of students has already moved on, months after the results would have been useful for guiding instruction.</w:t>
      </w:r>
    </w:p>
    <w:p w:rsidR="008E2DCE" w:rsidRPr="008E2DCE" w:rsidRDefault="008E2DCE" w:rsidP="008E2DCE">
      <w:pPr>
        <w:spacing w:after="120" w:line="270" w:lineRule="atLeast"/>
        <w:rPr>
          <w:rFonts w:ascii="Arial" w:eastAsia="Times New Roman" w:hAnsi="Arial" w:cs="Arial"/>
          <w:sz w:val="18"/>
          <w:szCs w:val="18"/>
        </w:rPr>
      </w:pPr>
      <w:r w:rsidRPr="008E2DCE">
        <w:rPr>
          <w:rFonts w:ascii="Arial" w:eastAsia="Times New Roman" w:hAnsi="Arial" w:cs="Arial"/>
          <w:sz w:val="18"/>
          <w:szCs w:val="18"/>
        </w:rPr>
        <w:t>The fact is that assessments may be useful for one purpose but worthless for other important instructional purposes. Education leaders now understand that a variety of measures are needed to accommodate a variety of goals. The challenge for schools is designing a balanced assessment system using the strengths of summative, interim, and formative assessments to address instructional, accountability, and learning needs. (See "The Quest for Quality" by Stephen Chappuis, Jan Chappuis, and Rick Stiggins on p. 14 of this issue for more on balanced assessment systems.)</w:t>
      </w:r>
    </w:p>
    <w:p w:rsidR="008E2DCE" w:rsidRPr="008E2DCE" w:rsidRDefault="008E2DCE" w:rsidP="008E2DCE">
      <w:pPr>
        <w:keepNext/>
        <w:spacing w:before="240" w:after="60" w:line="240" w:lineRule="auto"/>
        <w:outlineLvl w:val="1"/>
        <w:rPr>
          <w:rFonts w:ascii="Tahoma" w:eastAsia="Times New Roman" w:hAnsi="Tahoma" w:cs="Tahoma"/>
          <w:color w:val="666644"/>
          <w:sz w:val="30"/>
          <w:szCs w:val="30"/>
        </w:rPr>
      </w:pPr>
      <w:r w:rsidRPr="008E2DCE">
        <w:rPr>
          <w:rFonts w:ascii="Tahoma" w:eastAsia="Times New Roman" w:hAnsi="Tahoma" w:cs="Tahoma"/>
          <w:color w:val="666644"/>
          <w:sz w:val="30"/>
          <w:szCs w:val="30"/>
        </w:rPr>
        <w:t>What We Know</w:t>
      </w:r>
    </w:p>
    <w:p w:rsidR="008E2DCE" w:rsidRPr="008E2DCE" w:rsidRDefault="008E2DCE" w:rsidP="008E2DCE">
      <w:pPr>
        <w:spacing w:after="120" w:line="270" w:lineRule="atLeast"/>
        <w:rPr>
          <w:rFonts w:ascii="Arial" w:eastAsia="Times New Roman" w:hAnsi="Arial" w:cs="Arial"/>
          <w:sz w:val="18"/>
          <w:szCs w:val="18"/>
        </w:rPr>
      </w:pPr>
      <w:r w:rsidRPr="008E2DCE">
        <w:rPr>
          <w:rFonts w:ascii="Arial" w:eastAsia="Times New Roman" w:hAnsi="Arial" w:cs="Arial"/>
          <w:sz w:val="18"/>
          <w:szCs w:val="18"/>
        </w:rPr>
        <w:t>Experts have described the distinct uses and limitations of summative, formative, and interim assessments (Perie, Marion, Gong, &amp; Wurtzel, 2007). Summative assessments—administered at the end of a unit, semester, or year—cannot provide teachers with timely information on how to teach differently or what content to reteach to move students toward mastery. Large-scale summative assessments may be useful for ranking and comparing schools, districts, or programs, and they may yield disaggregated data that identify content areas in which particular groups of students are struggling. Their results may be useful in helping schools adjust the instructional program for the future. However, these standardized tests are not a good assessment choice for addressing students' current academic needs.</w:t>
      </w:r>
    </w:p>
    <w:p w:rsidR="008E2DCE" w:rsidRPr="008E2DCE" w:rsidRDefault="008E2DCE" w:rsidP="008E2DCE">
      <w:pPr>
        <w:spacing w:after="120" w:line="270" w:lineRule="atLeast"/>
        <w:rPr>
          <w:rFonts w:ascii="Arial" w:eastAsia="Times New Roman" w:hAnsi="Arial" w:cs="Arial"/>
          <w:sz w:val="18"/>
          <w:szCs w:val="18"/>
        </w:rPr>
      </w:pPr>
      <w:r w:rsidRPr="008E2DCE">
        <w:rPr>
          <w:rFonts w:ascii="Arial" w:eastAsia="Times New Roman" w:hAnsi="Arial" w:cs="Arial"/>
          <w:sz w:val="18"/>
          <w:szCs w:val="18"/>
        </w:rPr>
        <w:t xml:space="preserve">Formative assessments, in contrast, are administered frequently by teachers during an instructional unit to assess student learning as it happens. Used effectively, formative assessment provides information that helps the teacher adjust instruction to improve learning. Formative assessments take many forms. For example, a teacher might observe a small group of students discussing a character's internal conflict in the novel </w:t>
      </w:r>
      <w:r w:rsidRPr="008E2DCE">
        <w:rPr>
          <w:rFonts w:ascii="Arial" w:eastAsia="Times New Roman" w:hAnsi="Arial" w:cs="Arial"/>
          <w:i/>
          <w:iCs/>
          <w:sz w:val="18"/>
          <w:szCs w:val="18"/>
        </w:rPr>
        <w:t>Of Mice and Men</w:t>
      </w:r>
      <w:r w:rsidRPr="008E2DCE">
        <w:rPr>
          <w:rFonts w:ascii="Arial" w:eastAsia="Times New Roman" w:hAnsi="Arial" w:cs="Arial"/>
          <w:sz w:val="18"/>
          <w:szCs w:val="18"/>
        </w:rPr>
        <w:t xml:space="preserve"> or read students' hypotheses about dominant genes in their science notebooks, and then use these formative measures to identify students who would benefit from further instruction on the concept.</w:t>
      </w:r>
    </w:p>
    <w:p w:rsidR="008E2DCE" w:rsidRPr="008E2DCE" w:rsidRDefault="008E2DCE" w:rsidP="008E2DCE">
      <w:pPr>
        <w:spacing w:after="120" w:line="270" w:lineRule="atLeast"/>
        <w:rPr>
          <w:rFonts w:ascii="Arial" w:eastAsia="Times New Roman" w:hAnsi="Arial" w:cs="Arial"/>
          <w:sz w:val="18"/>
          <w:szCs w:val="18"/>
        </w:rPr>
      </w:pPr>
      <w:r w:rsidRPr="008E2DCE">
        <w:rPr>
          <w:rFonts w:ascii="Arial" w:eastAsia="Times New Roman" w:hAnsi="Arial" w:cs="Arial"/>
          <w:sz w:val="18"/>
          <w:szCs w:val="18"/>
        </w:rPr>
        <w:t xml:space="preserve">Interim assessments fall between formative and summative assessments in both timing and purpose. Usually administered on a regular, preplanned schedule, they evaluate student progress on common content standards, or </w:t>
      </w:r>
      <w:r w:rsidRPr="008E2DCE">
        <w:rPr>
          <w:rFonts w:ascii="Arial" w:eastAsia="Times New Roman" w:hAnsi="Arial" w:cs="Arial"/>
          <w:i/>
          <w:iCs/>
          <w:sz w:val="18"/>
          <w:szCs w:val="18"/>
        </w:rPr>
        <w:t>benchmarks</w:t>
      </w:r>
      <w:r w:rsidRPr="008E2DCE">
        <w:rPr>
          <w:rFonts w:ascii="Arial" w:eastAsia="Times New Roman" w:hAnsi="Arial" w:cs="Arial"/>
          <w:sz w:val="18"/>
          <w:szCs w:val="18"/>
        </w:rPr>
        <w:t>, that students must master to be on track to reach end-of-year learning goals. Unlike summative assessments, however, interim assessments take place in time for teachers to adjust instruction to address any identified gaps in student mastery.</w:t>
      </w:r>
    </w:p>
    <w:p w:rsidR="008E2DCE" w:rsidRPr="008E2DCE" w:rsidRDefault="008E2DCE" w:rsidP="008E2DCE">
      <w:pPr>
        <w:spacing w:after="120" w:line="270" w:lineRule="atLeast"/>
        <w:rPr>
          <w:rFonts w:ascii="Arial" w:eastAsia="Times New Roman" w:hAnsi="Arial" w:cs="Arial"/>
          <w:sz w:val="18"/>
          <w:szCs w:val="18"/>
        </w:rPr>
      </w:pPr>
      <w:r w:rsidRPr="008E2DCE">
        <w:rPr>
          <w:rFonts w:ascii="Arial" w:eastAsia="Times New Roman" w:hAnsi="Arial" w:cs="Arial"/>
          <w:sz w:val="18"/>
          <w:szCs w:val="18"/>
        </w:rPr>
        <w:t>Some teachers have access to interim assessments that come with packaged assessment programs. However, researchers have found that a more effective approach is for teachers within a school to collaborate on developing common performance-based interim assessments (Heritage, 2007; Perie, Marion, Gong &amp; Wurtzel, 2007; Stiggins &amp; DuFour, 2009). Such assessments allow teachers to combine and compare data across classrooms and work together to develop appropriate instructional responses. One specific study, which examined five low-performing, high-poverty urban high schools in three districts and their use of data to inform school improvement, concluded that the more school staff worked collaboratively to discuss and analyze student performance the more likely staff members were to use data to inform curriculum decisions (Lachat &amp; Smith, 2005).</w:t>
      </w:r>
    </w:p>
    <w:p w:rsidR="008E2DCE" w:rsidRPr="008E2DCE" w:rsidRDefault="008E2DCE" w:rsidP="008E2DCE">
      <w:pPr>
        <w:spacing w:after="120" w:line="270" w:lineRule="atLeast"/>
        <w:rPr>
          <w:rFonts w:ascii="Arial" w:eastAsia="Times New Roman" w:hAnsi="Arial" w:cs="Arial"/>
          <w:sz w:val="18"/>
          <w:szCs w:val="18"/>
        </w:rPr>
      </w:pPr>
      <w:r w:rsidRPr="008E2DCE">
        <w:rPr>
          <w:rFonts w:ascii="Arial" w:eastAsia="Times New Roman" w:hAnsi="Arial" w:cs="Arial"/>
          <w:sz w:val="18"/>
          <w:szCs w:val="18"/>
        </w:rPr>
        <w:lastRenderedPageBreak/>
        <w:t>Extensive research on assessment and learning shows that skilled use of formative assessment has a significant positive effect on student learning (Black &amp; Wiliam, 1998; Heritage, 2007; Stiggins &amp; DuFour, 2009). But for a formative assessment system to be effective, teachers must continually check students' learning and be willing to modify instruction to meet the student needs identified by the data. Both practices may require teacher change. To balance a school's assessment program with formative assessments, education leaders must ensure that teachers are supported in using this sometimes unfamiliar approach to instructional planning (Stiggins, 2005).</w:t>
      </w:r>
    </w:p>
    <w:p w:rsidR="008E2DCE" w:rsidRPr="008E2DCE" w:rsidRDefault="008E2DCE" w:rsidP="008E2DCE">
      <w:pPr>
        <w:keepNext/>
        <w:spacing w:before="240" w:after="60" w:line="240" w:lineRule="auto"/>
        <w:outlineLvl w:val="1"/>
        <w:rPr>
          <w:rFonts w:ascii="Tahoma" w:eastAsia="Times New Roman" w:hAnsi="Tahoma" w:cs="Tahoma"/>
          <w:color w:val="666644"/>
          <w:sz w:val="30"/>
          <w:szCs w:val="30"/>
        </w:rPr>
      </w:pPr>
      <w:r w:rsidRPr="008E2DCE">
        <w:rPr>
          <w:rFonts w:ascii="Tahoma" w:eastAsia="Times New Roman" w:hAnsi="Tahoma" w:cs="Tahoma"/>
          <w:color w:val="666644"/>
          <w:sz w:val="30"/>
          <w:szCs w:val="30"/>
        </w:rPr>
        <w:t>What You Can Do</w:t>
      </w:r>
    </w:p>
    <w:p w:rsidR="008E2DCE" w:rsidRPr="008E2DCE" w:rsidRDefault="008E2DCE" w:rsidP="008E2DCE">
      <w:pPr>
        <w:spacing w:after="120" w:line="270" w:lineRule="atLeast"/>
        <w:rPr>
          <w:rFonts w:ascii="Arial" w:eastAsia="Times New Roman" w:hAnsi="Arial" w:cs="Arial"/>
          <w:sz w:val="18"/>
          <w:szCs w:val="18"/>
        </w:rPr>
      </w:pPr>
      <w:r w:rsidRPr="008E2DCE">
        <w:rPr>
          <w:rFonts w:ascii="Arial" w:eastAsia="Times New Roman" w:hAnsi="Arial" w:cs="Arial"/>
          <w:sz w:val="18"/>
          <w:szCs w:val="18"/>
        </w:rPr>
        <w:t>To begin integrating formative assessment into a district system, Perie and colleagues (2007) recommend that district leaders build capacity for formative assessment practices and evaluate the effectiveness of these practices through teacher feedback and cost-benefit analyses. Key actions to build teacher confidence include providing professional development and ensuring ongoing support for teachers to collaborate in developing appropriate performance tasks. Finally, school staff must be willing to evaluate assessments in terms of the value they bring to student learning and instructional practice. Do the assessments in question actually improve instruction? Do they influence the way teachers converse with one another about teaching and learning?</w:t>
      </w:r>
    </w:p>
    <w:p w:rsidR="008E2DCE" w:rsidRPr="008E2DCE" w:rsidRDefault="008E2DCE" w:rsidP="008E2DCE">
      <w:pPr>
        <w:keepNext/>
        <w:spacing w:before="240" w:after="60" w:line="240" w:lineRule="auto"/>
        <w:outlineLvl w:val="1"/>
        <w:rPr>
          <w:rFonts w:ascii="Tahoma" w:eastAsia="Times New Roman" w:hAnsi="Tahoma" w:cs="Tahoma"/>
          <w:color w:val="666644"/>
          <w:sz w:val="30"/>
          <w:szCs w:val="30"/>
        </w:rPr>
      </w:pPr>
      <w:r w:rsidRPr="008E2DCE">
        <w:rPr>
          <w:rFonts w:ascii="Tahoma" w:eastAsia="Times New Roman" w:hAnsi="Tahoma" w:cs="Tahoma"/>
          <w:color w:val="666644"/>
          <w:sz w:val="30"/>
          <w:szCs w:val="30"/>
        </w:rPr>
        <w:t>Educators Take Note</w:t>
      </w:r>
    </w:p>
    <w:p w:rsidR="008E2DCE" w:rsidRPr="008E2DCE" w:rsidRDefault="008E2DCE" w:rsidP="008E2DCE">
      <w:pPr>
        <w:spacing w:after="120" w:line="270" w:lineRule="atLeast"/>
        <w:rPr>
          <w:rFonts w:ascii="Arial" w:eastAsia="Times New Roman" w:hAnsi="Arial" w:cs="Arial"/>
          <w:sz w:val="18"/>
          <w:szCs w:val="18"/>
        </w:rPr>
      </w:pPr>
      <w:r w:rsidRPr="008E2DCE">
        <w:rPr>
          <w:rFonts w:ascii="Arial" w:eastAsia="Times New Roman" w:hAnsi="Arial" w:cs="Arial"/>
          <w:sz w:val="18"/>
          <w:szCs w:val="18"/>
        </w:rPr>
        <w:t>Education leaders need to be knowledgeable and persuasive in advocating the use of a balanced assessment system. Before designing any new schoolwide or districtwide assessment, leaders must build commitment at all levels to a data-driven culture and to the new teacher practices this culture requires. A well-planned approach to balanced assessment will offer teachers, principals, and superintendents the different kinds of data they need to be well-informed decision makers.</w:t>
      </w:r>
    </w:p>
    <w:p w:rsidR="008E2DCE" w:rsidRPr="008E2DCE" w:rsidRDefault="008E2DCE" w:rsidP="008E2DCE">
      <w:pPr>
        <w:keepNext/>
        <w:spacing w:before="240" w:after="60" w:line="240" w:lineRule="auto"/>
        <w:outlineLvl w:val="2"/>
        <w:rPr>
          <w:rFonts w:ascii="Tahoma" w:eastAsia="Times New Roman" w:hAnsi="Tahoma" w:cs="Tahoma"/>
          <w:color w:val="003366"/>
          <w:sz w:val="18"/>
          <w:szCs w:val="18"/>
        </w:rPr>
      </w:pPr>
      <w:r w:rsidRPr="008E2DCE">
        <w:rPr>
          <w:rFonts w:ascii="Tahoma" w:eastAsia="Times New Roman" w:hAnsi="Tahoma" w:cs="Tahoma"/>
          <w:color w:val="003366"/>
          <w:sz w:val="18"/>
          <w:szCs w:val="18"/>
        </w:rPr>
        <w:t>References</w:t>
      </w:r>
    </w:p>
    <w:p w:rsidR="008E2DCE" w:rsidRPr="008E2DCE" w:rsidRDefault="008E2DCE" w:rsidP="008E2DCE">
      <w:pPr>
        <w:spacing w:before="120" w:after="120" w:line="255" w:lineRule="atLeast"/>
        <w:ind w:left="420" w:right="525"/>
        <w:rPr>
          <w:rFonts w:ascii="Verdana" w:eastAsia="Times New Roman" w:hAnsi="Verdana" w:cs="Times New Roman"/>
          <w:sz w:val="18"/>
          <w:szCs w:val="18"/>
        </w:rPr>
      </w:pPr>
      <w:r w:rsidRPr="008E2DCE">
        <w:rPr>
          <w:rFonts w:ascii="Verdana" w:eastAsia="Times New Roman" w:hAnsi="Verdana" w:cs="Times New Roman"/>
          <w:sz w:val="18"/>
          <w:szCs w:val="18"/>
        </w:rPr>
        <w:t xml:space="preserve">Black, P., &amp; Wiliam, D. (1998). </w:t>
      </w:r>
      <w:r w:rsidRPr="008E2DCE">
        <w:rPr>
          <w:rFonts w:ascii="Verdana" w:eastAsia="Times New Roman" w:hAnsi="Verdana" w:cs="Times New Roman"/>
          <w:i/>
          <w:iCs/>
          <w:sz w:val="18"/>
          <w:szCs w:val="18"/>
        </w:rPr>
        <w:t>Inside the black box: Raising standards through classroom assessment</w:t>
      </w:r>
      <w:r w:rsidRPr="008E2DCE">
        <w:rPr>
          <w:rFonts w:ascii="Verdana" w:eastAsia="Times New Roman" w:hAnsi="Verdana" w:cs="Times New Roman"/>
          <w:sz w:val="18"/>
          <w:szCs w:val="18"/>
        </w:rPr>
        <w:t>. London: King's College.</w:t>
      </w:r>
    </w:p>
    <w:p w:rsidR="008E2DCE" w:rsidRPr="008E2DCE" w:rsidRDefault="008E2DCE" w:rsidP="008E2DCE">
      <w:pPr>
        <w:spacing w:before="120" w:after="120" w:line="255" w:lineRule="atLeast"/>
        <w:ind w:left="420" w:right="525"/>
        <w:rPr>
          <w:rFonts w:ascii="Verdana" w:eastAsia="Times New Roman" w:hAnsi="Verdana" w:cs="Times New Roman"/>
          <w:sz w:val="18"/>
          <w:szCs w:val="18"/>
        </w:rPr>
      </w:pPr>
      <w:r w:rsidRPr="008E2DCE">
        <w:rPr>
          <w:rFonts w:ascii="Verdana" w:eastAsia="Times New Roman" w:hAnsi="Verdana" w:cs="Times New Roman"/>
          <w:sz w:val="18"/>
          <w:szCs w:val="18"/>
        </w:rPr>
        <w:t xml:space="preserve">Heritage, M. (2007). Formative assessment: What do teachers need to know and do? </w:t>
      </w:r>
      <w:r w:rsidRPr="008E2DCE">
        <w:rPr>
          <w:rFonts w:ascii="Verdana" w:eastAsia="Times New Roman" w:hAnsi="Verdana" w:cs="Times New Roman"/>
          <w:i/>
          <w:iCs/>
          <w:sz w:val="18"/>
          <w:szCs w:val="18"/>
        </w:rPr>
        <w:t>Phi Delta Kappan, 89</w:t>
      </w:r>
      <w:r w:rsidRPr="008E2DCE">
        <w:rPr>
          <w:rFonts w:ascii="Verdana" w:eastAsia="Times New Roman" w:hAnsi="Verdana" w:cs="Times New Roman"/>
          <w:sz w:val="18"/>
          <w:szCs w:val="18"/>
        </w:rPr>
        <w:t>(2), 140–145.</w:t>
      </w:r>
    </w:p>
    <w:p w:rsidR="008E2DCE" w:rsidRPr="008E2DCE" w:rsidRDefault="008E2DCE" w:rsidP="008E2DCE">
      <w:pPr>
        <w:spacing w:before="120" w:after="120" w:line="255" w:lineRule="atLeast"/>
        <w:ind w:left="420" w:right="525"/>
        <w:rPr>
          <w:rFonts w:ascii="Verdana" w:eastAsia="Times New Roman" w:hAnsi="Verdana" w:cs="Times New Roman"/>
          <w:sz w:val="18"/>
          <w:szCs w:val="18"/>
        </w:rPr>
      </w:pPr>
      <w:r w:rsidRPr="008E2DCE">
        <w:rPr>
          <w:rFonts w:ascii="Verdana" w:eastAsia="Times New Roman" w:hAnsi="Verdana" w:cs="Times New Roman"/>
          <w:sz w:val="18"/>
          <w:szCs w:val="18"/>
        </w:rPr>
        <w:t xml:space="preserve">Lachat, M. A., &amp; Smith, S. (2005). Practices that support data use in urban high schools. </w:t>
      </w:r>
      <w:r w:rsidRPr="008E2DCE">
        <w:rPr>
          <w:rFonts w:ascii="Verdana" w:eastAsia="Times New Roman" w:hAnsi="Verdana" w:cs="Times New Roman"/>
          <w:i/>
          <w:iCs/>
          <w:sz w:val="18"/>
          <w:szCs w:val="18"/>
        </w:rPr>
        <w:t>Journal of Education for Students Placed at Risk, 10</w:t>
      </w:r>
      <w:r w:rsidRPr="008E2DCE">
        <w:rPr>
          <w:rFonts w:ascii="Verdana" w:eastAsia="Times New Roman" w:hAnsi="Verdana" w:cs="Times New Roman"/>
          <w:sz w:val="18"/>
          <w:szCs w:val="18"/>
        </w:rPr>
        <w:t>(3), 333–349.</w:t>
      </w:r>
    </w:p>
    <w:p w:rsidR="008E2DCE" w:rsidRPr="008E2DCE" w:rsidRDefault="008E2DCE" w:rsidP="008E2DCE">
      <w:pPr>
        <w:spacing w:before="120" w:after="120" w:line="255" w:lineRule="atLeast"/>
        <w:ind w:left="420" w:right="525"/>
        <w:rPr>
          <w:rFonts w:ascii="Verdana" w:eastAsia="Times New Roman" w:hAnsi="Verdana" w:cs="Times New Roman"/>
          <w:sz w:val="18"/>
          <w:szCs w:val="18"/>
        </w:rPr>
      </w:pPr>
      <w:r w:rsidRPr="008E2DCE">
        <w:rPr>
          <w:rFonts w:ascii="Verdana" w:eastAsia="Times New Roman" w:hAnsi="Verdana" w:cs="Times New Roman"/>
          <w:sz w:val="18"/>
          <w:szCs w:val="18"/>
        </w:rPr>
        <w:t xml:space="preserve">Perie, M., Marion, S., Gong, B., &amp; Wurtzel, J. (2007). </w:t>
      </w:r>
      <w:r w:rsidRPr="008E2DCE">
        <w:rPr>
          <w:rFonts w:ascii="Verdana" w:eastAsia="Times New Roman" w:hAnsi="Verdana" w:cs="Times New Roman"/>
          <w:i/>
          <w:iCs/>
          <w:sz w:val="18"/>
          <w:szCs w:val="18"/>
        </w:rPr>
        <w:t>The role of interim assessments in a comprehensive assessment system</w:t>
      </w:r>
      <w:r w:rsidRPr="008E2DCE">
        <w:rPr>
          <w:rFonts w:ascii="Verdana" w:eastAsia="Times New Roman" w:hAnsi="Verdana" w:cs="Times New Roman"/>
          <w:sz w:val="18"/>
          <w:szCs w:val="18"/>
        </w:rPr>
        <w:t>. Aspen, CO: Aspen Institute.</w:t>
      </w:r>
    </w:p>
    <w:p w:rsidR="008E2DCE" w:rsidRPr="008E2DCE" w:rsidRDefault="008E2DCE" w:rsidP="008E2DCE">
      <w:pPr>
        <w:spacing w:before="120" w:after="120" w:line="255" w:lineRule="atLeast"/>
        <w:ind w:left="420" w:right="525"/>
        <w:rPr>
          <w:rFonts w:ascii="Verdana" w:eastAsia="Times New Roman" w:hAnsi="Verdana" w:cs="Times New Roman"/>
          <w:sz w:val="18"/>
          <w:szCs w:val="18"/>
        </w:rPr>
      </w:pPr>
      <w:r w:rsidRPr="008E2DCE">
        <w:rPr>
          <w:rFonts w:ascii="Verdana" w:eastAsia="Times New Roman" w:hAnsi="Verdana" w:cs="Times New Roman"/>
          <w:sz w:val="18"/>
          <w:szCs w:val="18"/>
        </w:rPr>
        <w:t xml:space="preserve">Stiggins, R. (2005). From formative assessment to assessment for learning: A path to success in standards-based schools. </w:t>
      </w:r>
      <w:r w:rsidRPr="008E2DCE">
        <w:rPr>
          <w:rFonts w:ascii="Verdana" w:eastAsia="Times New Roman" w:hAnsi="Verdana" w:cs="Times New Roman"/>
          <w:i/>
          <w:iCs/>
          <w:sz w:val="18"/>
          <w:szCs w:val="18"/>
        </w:rPr>
        <w:t>Phi Delta Kappan, 87</w:t>
      </w:r>
      <w:r w:rsidRPr="008E2DCE">
        <w:rPr>
          <w:rFonts w:ascii="Verdana" w:eastAsia="Times New Roman" w:hAnsi="Verdana" w:cs="Times New Roman"/>
          <w:sz w:val="18"/>
          <w:szCs w:val="18"/>
        </w:rPr>
        <w:t>(4), 324–328.</w:t>
      </w:r>
    </w:p>
    <w:p w:rsidR="008E2DCE" w:rsidRPr="008E2DCE" w:rsidRDefault="008E2DCE" w:rsidP="008E2DCE">
      <w:pPr>
        <w:spacing w:before="120" w:after="120" w:line="255" w:lineRule="atLeast"/>
        <w:ind w:left="420" w:right="525"/>
        <w:rPr>
          <w:rFonts w:ascii="Verdana" w:eastAsia="Times New Roman" w:hAnsi="Verdana" w:cs="Times New Roman"/>
          <w:sz w:val="18"/>
          <w:szCs w:val="18"/>
        </w:rPr>
      </w:pPr>
      <w:r w:rsidRPr="008E2DCE">
        <w:rPr>
          <w:rFonts w:ascii="Verdana" w:eastAsia="Times New Roman" w:hAnsi="Verdana" w:cs="Times New Roman"/>
          <w:sz w:val="18"/>
          <w:szCs w:val="18"/>
        </w:rPr>
        <w:t xml:space="preserve">Stiggins, R., &amp; DuFour, R. (2009). Maximizing the power of formative assessments. </w:t>
      </w:r>
      <w:r w:rsidRPr="008E2DCE">
        <w:rPr>
          <w:rFonts w:ascii="Verdana" w:eastAsia="Times New Roman" w:hAnsi="Verdana" w:cs="Times New Roman"/>
          <w:i/>
          <w:iCs/>
          <w:sz w:val="18"/>
          <w:szCs w:val="18"/>
        </w:rPr>
        <w:t>Phi Delta Kappan, 90</w:t>
      </w:r>
      <w:r w:rsidRPr="008E2DCE">
        <w:rPr>
          <w:rFonts w:ascii="Verdana" w:eastAsia="Times New Roman" w:hAnsi="Verdana" w:cs="Times New Roman"/>
          <w:sz w:val="18"/>
          <w:szCs w:val="18"/>
        </w:rPr>
        <w:t>(9), 640–644.</w:t>
      </w:r>
    </w:p>
    <w:p w:rsidR="008E2DCE" w:rsidRPr="008E2DCE" w:rsidRDefault="008E2DCE" w:rsidP="008E2DCE">
      <w:pPr>
        <w:spacing w:after="0" w:line="240" w:lineRule="auto"/>
        <w:rPr>
          <w:rFonts w:ascii="Verdana" w:eastAsia="Times New Roman" w:hAnsi="Verdana" w:cs="Times New Roman"/>
          <w:sz w:val="17"/>
          <w:szCs w:val="17"/>
        </w:rPr>
      </w:pPr>
      <w:r w:rsidRPr="008E2DCE">
        <w:rPr>
          <w:rFonts w:ascii="Verdana" w:eastAsia="Times New Roman" w:hAnsi="Verdana" w:cs="Times New Roman"/>
          <w:sz w:val="17"/>
          <w:szCs w:val="17"/>
        </w:rPr>
        <w:pict>
          <v:rect id="_x0000_i1026" style="width:0;height:.75pt" o:hrstd="t" o:hrnoshade="t" o:hr="t" fillcolor="#acacac" stroked="f"/>
        </w:pict>
      </w:r>
    </w:p>
    <w:p w:rsidR="008E2DCE" w:rsidRPr="008E2DCE" w:rsidRDefault="008E2DCE" w:rsidP="008E2DCE">
      <w:pPr>
        <w:spacing w:before="80" w:after="80" w:line="240" w:lineRule="atLeast"/>
        <w:rPr>
          <w:rFonts w:ascii="Arial" w:eastAsia="Times New Roman" w:hAnsi="Arial" w:cs="Arial"/>
          <w:color w:val="000000"/>
          <w:sz w:val="17"/>
          <w:szCs w:val="17"/>
        </w:rPr>
      </w:pPr>
      <w:r w:rsidRPr="008E2DCE">
        <w:rPr>
          <w:rFonts w:ascii="Arial" w:eastAsia="Times New Roman" w:hAnsi="Arial" w:cs="Arial"/>
          <w:b/>
          <w:bCs/>
          <w:color w:val="000000"/>
          <w:sz w:val="17"/>
          <w:szCs w:val="17"/>
        </w:rPr>
        <w:t>Tracy A. Huebner</w:t>
      </w:r>
      <w:r w:rsidRPr="008E2DCE">
        <w:rPr>
          <w:rFonts w:ascii="Arial" w:eastAsia="Times New Roman" w:hAnsi="Arial" w:cs="Arial"/>
          <w:color w:val="000000"/>
          <w:sz w:val="17"/>
          <w:szCs w:val="17"/>
        </w:rPr>
        <w:t xml:space="preserve"> is Senior Research Associate at WestEd, San Francisco, California; </w:t>
      </w:r>
      <w:hyperlink r:id="rId4" w:tgtFrame="" w:history="1">
        <w:r w:rsidRPr="008E2DCE">
          <w:rPr>
            <w:rFonts w:ascii="Arial" w:eastAsia="Times New Roman" w:hAnsi="Arial" w:cs="Arial"/>
            <w:b/>
            <w:bCs/>
            <w:color w:val="0A77A6"/>
            <w:sz w:val="17"/>
            <w:szCs w:val="17"/>
          </w:rPr>
          <w:t>thuebne@wested.org</w:t>
        </w:r>
      </w:hyperlink>
      <w:r w:rsidRPr="008E2DCE">
        <w:rPr>
          <w:rFonts w:ascii="Arial" w:eastAsia="Times New Roman" w:hAnsi="Arial" w:cs="Arial"/>
          <w:color w:val="000000"/>
          <w:sz w:val="17"/>
          <w:szCs w:val="17"/>
        </w:rPr>
        <w:t>.</w:t>
      </w:r>
    </w:p>
    <w:p w:rsidR="00502C56" w:rsidRDefault="00502C56"/>
    <w:sectPr w:rsidR="00502C56" w:rsidSect="00502C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8E2DCE"/>
    <w:rsid w:val="00037E75"/>
    <w:rsid w:val="001922D8"/>
    <w:rsid w:val="002539D7"/>
    <w:rsid w:val="002A6B87"/>
    <w:rsid w:val="004E396F"/>
    <w:rsid w:val="00502C56"/>
    <w:rsid w:val="005A6267"/>
    <w:rsid w:val="006038A3"/>
    <w:rsid w:val="00620925"/>
    <w:rsid w:val="006B2074"/>
    <w:rsid w:val="007600A1"/>
    <w:rsid w:val="007A3092"/>
    <w:rsid w:val="007C2B8F"/>
    <w:rsid w:val="008E2DCE"/>
    <w:rsid w:val="009F3F78"/>
    <w:rsid w:val="00AE4143"/>
    <w:rsid w:val="00B81E04"/>
    <w:rsid w:val="00B83E11"/>
    <w:rsid w:val="00C1230D"/>
    <w:rsid w:val="00C3799D"/>
    <w:rsid w:val="00C724AC"/>
    <w:rsid w:val="00DA3C21"/>
    <w:rsid w:val="00E82F90"/>
    <w:rsid w:val="00EC21B0"/>
    <w:rsid w:val="00F85C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C56"/>
  </w:style>
  <w:style w:type="paragraph" w:styleId="Heading2">
    <w:name w:val="heading 2"/>
    <w:basedOn w:val="Normal"/>
    <w:link w:val="Heading2Char"/>
    <w:uiPriority w:val="9"/>
    <w:qFormat/>
    <w:rsid w:val="008E2DCE"/>
    <w:pPr>
      <w:keepNext/>
      <w:spacing w:before="240" w:after="60" w:line="240" w:lineRule="auto"/>
      <w:outlineLvl w:val="1"/>
    </w:pPr>
    <w:rPr>
      <w:rFonts w:ascii="Tahoma" w:eastAsia="Times New Roman" w:hAnsi="Tahoma" w:cs="Tahoma"/>
      <w:color w:val="666644"/>
      <w:sz w:val="30"/>
      <w:szCs w:val="30"/>
    </w:rPr>
  </w:style>
  <w:style w:type="paragraph" w:styleId="Heading3">
    <w:name w:val="heading 3"/>
    <w:basedOn w:val="Normal"/>
    <w:link w:val="Heading3Char"/>
    <w:uiPriority w:val="9"/>
    <w:qFormat/>
    <w:rsid w:val="008E2DCE"/>
    <w:pPr>
      <w:keepNext/>
      <w:spacing w:before="240" w:after="60" w:line="240" w:lineRule="auto"/>
      <w:outlineLvl w:val="2"/>
    </w:pPr>
    <w:rPr>
      <w:rFonts w:ascii="Tahoma" w:eastAsia="Times New Roman" w:hAnsi="Tahoma" w:cs="Tahoma"/>
      <w:color w:val="003366"/>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E2DCE"/>
    <w:rPr>
      <w:rFonts w:ascii="Tahoma" w:eastAsia="Times New Roman" w:hAnsi="Tahoma" w:cs="Tahoma"/>
      <w:color w:val="666644"/>
      <w:sz w:val="30"/>
      <w:szCs w:val="30"/>
    </w:rPr>
  </w:style>
  <w:style w:type="character" w:customStyle="1" w:styleId="Heading3Char">
    <w:name w:val="Heading 3 Char"/>
    <w:basedOn w:val="DefaultParagraphFont"/>
    <w:link w:val="Heading3"/>
    <w:uiPriority w:val="9"/>
    <w:rsid w:val="008E2DCE"/>
    <w:rPr>
      <w:rFonts w:ascii="Tahoma" w:eastAsia="Times New Roman" w:hAnsi="Tahoma" w:cs="Tahoma"/>
      <w:color w:val="003366"/>
      <w:sz w:val="18"/>
      <w:szCs w:val="18"/>
    </w:rPr>
  </w:style>
  <w:style w:type="paragraph" w:customStyle="1" w:styleId="headline">
    <w:name w:val="headline"/>
    <w:basedOn w:val="Normal"/>
    <w:rsid w:val="008E2DCE"/>
    <w:pPr>
      <w:spacing w:after="0" w:line="450" w:lineRule="atLeast"/>
    </w:pPr>
    <w:rPr>
      <w:rFonts w:ascii="Arial" w:eastAsia="Times New Roman" w:hAnsi="Arial" w:cs="Arial"/>
      <w:b/>
      <w:bCs/>
      <w:color w:val="000000"/>
      <w:sz w:val="24"/>
      <w:szCs w:val="24"/>
    </w:rPr>
  </w:style>
  <w:style w:type="paragraph" w:customStyle="1" w:styleId="maintext">
    <w:name w:val="maintext"/>
    <w:basedOn w:val="Normal"/>
    <w:rsid w:val="008E2DCE"/>
    <w:pPr>
      <w:spacing w:after="120" w:line="270" w:lineRule="atLeast"/>
    </w:pPr>
    <w:rPr>
      <w:rFonts w:ascii="Arial" w:eastAsia="Times New Roman" w:hAnsi="Arial" w:cs="Arial"/>
      <w:sz w:val="18"/>
      <w:szCs w:val="18"/>
    </w:rPr>
  </w:style>
  <w:style w:type="paragraph" w:customStyle="1" w:styleId="blockquote">
    <w:name w:val="blockquote"/>
    <w:basedOn w:val="Normal"/>
    <w:rsid w:val="008E2DCE"/>
    <w:pPr>
      <w:spacing w:before="120" w:after="120" w:line="255" w:lineRule="atLeast"/>
      <w:ind w:left="420" w:right="525"/>
    </w:pPr>
    <w:rPr>
      <w:rFonts w:ascii="Verdana" w:eastAsia="Times New Roman" w:hAnsi="Verdana" w:cs="Times New Roman"/>
      <w:sz w:val="18"/>
      <w:szCs w:val="18"/>
    </w:rPr>
  </w:style>
  <w:style w:type="paragraph" w:customStyle="1" w:styleId="smalltext">
    <w:name w:val="smalltext"/>
    <w:basedOn w:val="Normal"/>
    <w:rsid w:val="008E2DCE"/>
    <w:pPr>
      <w:spacing w:before="80" w:after="80" w:line="240" w:lineRule="atLeast"/>
    </w:pPr>
    <w:rPr>
      <w:rFonts w:ascii="Arial" w:eastAsia="Times New Roman" w:hAnsi="Arial" w:cs="Arial"/>
      <w:color w:val="000000"/>
      <w:sz w:val="17"/>
      <w:szCs w:val="17"/>
    </w:rPr>
  </w:style>
  <w:style w:type="paragraph" w:customStyle="1" w:styleId="author">
    <w:name w:val="author"/>
    <w:basedOn w:val="Normal"/>
    <w:rsid w:val="008E2DCE"/>
    <w:pPr>
      <w:spacing w:after="0" w:line="270" w:lineRule="atLeast"/>
    </w:pPr>
    <w:rPr>
      <w:rFonts w:ascii="Arial" w:eastAsia="Times New Roman" w:hAnsi="Arial" w:cs="Arial"/>
      <w:i/>
      <w:iCs/>
      <w:color w:val="000000"/>
      <w:sz w:val="18"/>
      <w:szCs w:val="18"/>
    </w:rPr>
  </w:style>
</w:styles>
</file>

<file path=word/webSettings.xml><?xml version="1.0" encoding="utf-8"?>
<w:webSettings xmlns:r="http://schemas.openxmlformats.org/officeDocument/2006/relationships" xmlns:w="http://schemas.openxmlformats.org/wordprocessingml/2006/main">
  <w:divs>
    <w:div w:id="573245549">
      <w:bodyDiv w:val="1"/>
      <w:marLeft w:val="0"/>
      <w:marRight w:val="0"/>
      <w:marTop w:val="0"/>
      <w:marBottom w:val="0"/>
      <w:divBdr>
        <w:top w:val="none" w:sz="0" w:space="0" w:color="auto"/>
        <w:left w:val="none" w:sz="0" w:space="0" w:color="auto"/>
        <w:bottom w:val="none" w:sz="0" w:space="0" w:color="auto"/>
        <w:right w:val="none" w:sz="0" w:space="0" w:color="auto"/>
      </w:divBdr>
      <w:divsChild>
        <w:div w:id="2072000964">
          <w:marLeft w:val="0"/>
          <w:marRight w:val="0"/>
          <w:marTop w:val="0"/>
          <w:marBottom w:val="0"/>
          <w:divBdr>
            <w:top w:val="none" w:sz="0" w:space="0" w:color="auto"/>
            <w:left w:val="none" w:sz="0" w:space="0" w:color="auto"/>
            <w:bottom w:val="none" w:sz="0" w:space="0" w:color="auto"/>
            <w:right w:val="none" w:sz="0" w:space="0" w:color="auto"/>
          </w:divBdr>
          <w:divsChild>
            <w:div w:id="178323636">
              <w:marLeft w:val="0"/>
              <w:marRight w:val="0"/>
              <w:marTop w:val="0"/>
              <w:marBottom w:val="0"/>
              <w:divBdr>
                <w:top w:val="none" w:sz="0" w:space="0" w:color="auto"/>
                <w:left w:val="none" w:sz="0" w:space="0" w:color="auto"/>
                <w:bottom w:val="none" w:sz="0" w:space="0" w:color="auto"/>
                <w:right w:val="none" w:sz="0" w:space="0" w:color="auto"/>
              </w:divBdr>
              <w:divsChild>
                <w:div w:id="881210502">
                  <w:marLeft w:val="0"/>
                  <w:marRight w:val="0"/>
                  <w:marTop w:val="0"/>
                  <w:marBottom w:val="0"/>
                  <w:divBdr>
                    <w:top w:val="none" w:sz="0" w:space="0" w:color="auto"/>
                    <w:left w:val="none" w:sz="0" w:space="0" w:color="auto"/>
                    <w:bottom w:val="none" w:sz="0" w:space="0" w:color="auto"/>
                    <w:right w:val="none" w:sz="0" w:space="0" w:color="auto"/>
                  </w:divBdr>
                  <w:divsChild>
                    <w:div w:id="1053701679">
                      <w:marLeft w:val="0"/>
                      <w:marRight w:val="0"/>
                      <w:marTop w:val="0"/>
                      <w:marBottom w:val="0"/>
                      <w:divBdr>
                        <w:top w:val="none" w:sz="0" w:space="0" w:color="auto"/>
                        <w:left w:val="none" w:sz="0" w:space="0" w:color="auto"/>
                        <w:bottom w:val="none" w:sz="0" w:space="0" w:color="auto"/>
                        <w:right w:val="none" w:sz="0" w:space="0" w:color="auto"/>
                      </w:divBdr>
                      <w:divsChild>
                        <w:div w:id="1311209968">
                          <w:marLeft w:val="0"/>
                          <w:marRight w:val="0"/>
                          <w:marTop w:val="0"/>
                          <w:marBottom w:val="0"/>
                          <w:divBdr>
                            <w:top w:val="none" w:sz="0" w:space="0" w:color="auto"/>
                            <w:left w:val="none" w:sz="0" w:space="0" w:color="auto"/>
                            <w:bottom w:val="none" w:sz="0" w:space="0" w:color="auto"/>
                            <w:right w:val="none" w:sz="0" w:space="0" w:color="auto"/>
                          </w:divBdr>
                        </w:div>
                        <w:div w:id="1895852035">
                          <w:marLeft w:val="0"/>
                          <w:marRight w:val="0"/>
                          <w:marTop w:val="0"/>
                          <w:marBottom w:val="0"/>
                          <w:divBdr>
                            <w:top w:val="none" w:sz="0" w:space="0" w:color="auto"/>
                            <w:left w:val="none" w:sz="0" w:space="0" w:color="auto"/>
                            <w:bottom w:val="none" w:sz="0" w:space="0" w:color="auto"/>
                            <w:right w:val="none" w:sz="0" w:space="0" w:color="auto"/>
                          </w:divBdr>
                          <w:divsChild>
                            <w:div w:id="363679305">
                              <w:marLeft w:val="0"/>
                              <w:marRight w:val="0"/>
                              <w:marTop w:val="100"/>
                              <w:marBottom w:val="100"/>
                              <w:divBdr>
                                <w:top w:val="none" w:sz="0" w:space="0" w:color="auto"/>
                                <w:left w:val="none" w:sz="0" w:space="0" w:color="auto"/>
                                <w:bottom w:val="none" w:sz="0" w:space="0" w:color="auto"/>
                                <w:right w:val="none" w:sz="0" w:space="0" w:color="auto"/>
                              </w:divBdr>
                            </w:div>
                          </w:divsChild>
                        </w:div>
                        <w:div w:id="13992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huebne@weste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1005</Words>
  <Characters>5735</Characters>
  <Application>Microsoft Office Word</Application>
  <DocSecurity>0</DocSecurity>
  <Lines>47</Lines>
  <Paragraphs>13</Paragraphs>
  <ScaleCrop>false</ScaleCrop>
  <Company>Virginia Beach City Public</Company>
  <LinksUpToDate>false</LinksUpToDate>
  <CharactersWithSpaces>6727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rlhoffma</dc:creator>
  <cp:keywords/>
  <dc:description/>
  <cp:lastModifiedBy>rlhoffma</cp:lastModifiedBy>
  <cp:revision>1</cp:revision>
  <dcterms:created xsi:type="dcterms:W3CDTF">2011-01-05T17:23:00Z</dcterms:created>
  <dcterms:modified xsi:type="dcterms:W3CDTF">2011-01-05T17:24:00Z</dcterms:modified>
</cp:coreProperties>
</file>